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oofdtekst"/>
        <w:spacing w:after="0"/>
      </w:pPr>
    </w:p>
    <w:tbl>
      <w:tblPr>
        <w:tblW w:w="1516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5168"/>
      </w:tblGrid>
      <w:tr>
        <w:tblPrEx>
          <w:shd w:val="clear" w:color="auto" w:fill="ced7e7"/>
        </w:tblPrEx>
        <w:trPr>
          <w:trHeight w:val="407" w:hRule="atLeast"/>
        </w:trPr>
        <w:tc>
          <w:tcPr>
            <w:tcW w:type="dxa" w:w="151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4d4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andaard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Verdana" w:hAnsi="Verdana"/>
                <w:b w:val="1"/>
                <w:bCs w:val="1"/>
                <w:outline w:val="0"/>
                <w:color w:val="00008a"/>
                <w:u w:color="00008a"/>
                <w:shd w:val="nil" w:color="auto" w:fill="auto"/>
                <w:rtl w:val="0"/>
                <w:lang w:val="nl-NL"/>
                <w14:textFill>
                  <w14:solidFill>
                    <w14:srgbClr w14:val="00008A"/>
                  </w14:solidFill>
                </w14:textFill>
              </w:rPr>
              <w:t xml:space="preserve">  FUNCTIEOMSCHRIJVING VGM-functionaris</w:t>
            </w:r>
          </w:p>
        </w:tc>
      </w:tr>
    </w:tbl>
    <w:p>
      <w:pPr>
        <w:pStyle w:val="Hoofdtekst"/>
        <w:widowControl w:val="0"/>
        <w:bidi w:val="0"/>
        <w:spacing w:after="0" w:line="240" w:lineRule="auto"/>
        <w:ind w:left="0" w:right="0" w:firstLine="0"/>
        <w:jc w:val="left"/>
        <w:rPr>
          <w:rFonts w:ascii="Helvetica Neue" w:cs="Helvetica Neue" w:hAnsi="Helvetica Neue" w:eastAsia="Helvetica Neue"/>
          <w:rtl w:val="0"/>
        </w:rPr>
      </w:pPr>
    </w:p>
    <w:tbl>
      <w:tblPr>
        <w:tblW w:w="905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762"/>
        <w:gridCol w:w="2535"/>
        <w:gridCol w:w="1823"/>
        <w:gridCol w:w="2931"/>
      </w:tblGrid>
      <w:tr>
        <w:tblPrEx>
          <w:shd w:val="clear" w:color="auto" w:fill="ced7e7"/>
        </w:tblPrEx>
        <w:trPr>
          <w:trHeight w:val="591" w:hRule="atLeast"/>
        </w:trPr>
        <w:tc>
          <w:tcPr>
            <w:tcW w:type="dxa" w:w="176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d9d9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exact"/>
              <w:ind w:left="0" w:right="0" w:firstLine="0"/>
              <w:jc w:val="left"/>
              <w:rPr>
                <w:rtl w:val="0"/>
              </w:rPr>
            </w:pPr>
            <w:r>
              <w:rPr>
                <w:rFonts w:ascii="Verdana" w:hAnsi="Verdana"/>
                <w:b w:val="1"/>
                <w:bCs w:val="1"/>
                <w:kern w:val="28"/>
                <w:sz w:val="17"/>
                <w:szCs w:val="17"/>
                <w:u w:color="000000"/>
                <w:shd w:val="nil" w:color="auto" w:fill="auto"/>
                <w:rtl w:val="0"/>
                <w:lang w:val="nl-NL"/>
              </w:rPr>
              <w:t>TAKEN</w:t>
            </w:r>
          </w:p>
        </w:tc>
        <w:tc>
          <w:tcPr>
            <w:tcW w:type="dxa" w:w="2535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d9d9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</w:tabs>
              <w:bidi w:val="0"/>
              <w:spacing w:before="0" w:after="120" w:line="300" w:lineRule="exact"/>
              <w:ind w:left="0" w:right="0" w:firstLine="0"/>
              <w:jc w:val="both"/>
              <w:rPr>
                <w:rtl w:val="0"/>
              </w:rPr>
            </w:pPr>
            <w:r>
              <w:rPr>
                <w:rFonts w:ascii="Verdana" w:hAnsi="Verdana"/>
                <w:b w:val="1"/>
                <w:bCs w:val="1"/>
                <w:kern w:val="28"/>
                <w:sz w:val="17"/>
                <w:szCs w:val="17"/>
                <w:u w:color="000000"/>
                <w:shd w:val="nil" w:color="auto" w:fill="auto"/>
                <w:rtl w:val="0"/>
                <w:lang w:val="nl-NL"/>
              </w:rPr>
              <w:t>VERANTWOORDELIJK</w:t>
            </w:r>
            <w:r>
              <w:rPr>
                <w:rFonts w:ascii="Verdana" w:hAnsi="Verdana"/>
                <w:b w:val="1"/>
                <w:bCs w:val="1"/>
                <w:kern w:val="28"/>
                <w:sz w:val="17"/>
                <w:szCs w:val="17"/>
                <w:u w:color="000000"/>
                <w:shd w:val="nil" w:color="auto" w:fill="auto"/>
                <w:rtl w:val="0"/>
                <w:lang w:val="nl-NL"/>
              </w:rPr>
              <w:t>-</w:t>
            </w:r>
            <w:r>
              <w:rPr>
                <w:rFonts w:ascii="Verdana" w:hAnsi="Verdana"/>
                <w:b w:val="1"/>
                <w:bCs w:val="1"/>
                <w:kern w:val="28"/>
                <w:sz w:val="17"/>
                <w:szCs w:val="17"/>
                <w:u w:color="000000"/>
                <w:shd w:val="nil" w:color="auto" w:fill="auto"/>
                <w:rtl w:val="0"/>
                <w:lang w:val="nl-NL"/>
              </w:rPr>
              <w:t>HEDEN</w:t>
            </w:r>
          </w:p>
        </w:tc>
        <w:tc>
          <w:tcPr>
            <w:tcW w:type="dxa" w:w="182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d9d9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exact"/>
              <w:ind w:left="0" w:right="0" w:firstLine="0"/>
              <w:jc w:val="left"/>
              <w:rPr>
                <w:rtl w:val="0"/>
              </w:rPr>
            </w:pPr>
            <w:r>
              <w:rPr>
                <w:rFonts w:ascii="Verdana" w:hAnsi="Verdana"/>
                <w:b w:val="1"/>
                <w:bCs w:val="1"/>
                <w:kern w:val="28"/>
                <w:sz w:val="17"/>
                <w:szCs w:val="17"/>
                <w:u w:color="000000"/>
                <w:shd w:val="nil" w:color="auto" w:fill="auto"/>
                <w:rtl w:val="0"/>
                <w:lang w:val="nl-NL"/>
              </w:rPr>
              <w:t>BEVOEGDHEDEN</w:t>
            </w:r>
          </w:p>
        </w:tc>
        <w:tc>
          <w:tcPr>
            <w:tcW w:type="dxa" w:w="2930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d9d9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after="120" w:line="300" w:lineRule="exact"/>
              <w:ind w:left="0" w:right="0" w:firstLine="0"/>
              <w:jc w:val="left"/>
              <w:rPr>
                <w:rtl w:val="0"/>
              </w:rPr>
            </w:pPr>
            <w:r>
              <w:rPr>
                <w:rFonts w:ascii="Verdana" w:hAnsi="Verdana"/>
                <w:b w:val="1"/>
                <w:bCs w:val="1"/>
                <w:kern w:val="28"/>
                <w:sz w:val="17"/>
                <w:szCs w:val="17"/>
                <w:u w:color="000000"/>
                <w:shd w:val="nil" w:color="auto" w:fill="auto"/>
                <w:rtl w:val="0"/>
                <w:lang w:val="nl-NL"/>
              </w:rPr>
              <w:t>VAARDIGHEDEN</w:t>
            </w:r>
          </w:p>
        </w:tc>
      </w:tr>
      <w:tr>
        <w:tblPrEx>
          <w:shd w:val="clear" w:color="auto" w:fill="ced7e7"/>
        </w:tblPrEx>
        <w:trPr>
          <w:trHeight w:val="1455" w:hRule="atLeast"/>
        </w:trPr>
        <w:tc>
          <w:tcPr>
            <w:tcW w:type="dxa" w:w="176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Beheer VCA 2026/6.1 handboek</w:t>
            </w:r>
          </w:p>
        </w:tc>
        <w:tc>
          <w:tcPr>
            <w:tcW w:type="dxa" w:w="2535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</w:tabs>
              <w:bidi w:val="0"/>
              <w:spacing w:before="0" w:line="300" w:lineRule="auto"/>
              <w:ind w:left="0" w:right="0" w:firstLine="0"/>
              <w:jc w:val="left"/>
              <w:rPr>
                <w:kern w:val="28"/>
                <w:sz w:val="16"/>
                <w:szCs w:val="16"/>
                <w:u w:color="000000"/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VCA-handboek dient actueel te zijn.</w:t>
            </w:r>
          </w:p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</w:tabs>
              <w:spacing w:before="0" w:line="300" w:lineRule="auto"/>
              <w:jc w:val="left"/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Het VCA- handboek dient te voldoen aan de actuele versie VGM Checklijst Aannemerij</w:t>
            </w:r>
          </w:p>
        </w:tc>
        <w:tc>
          <w:tcPr>
            <w:tcW w:type="dxa" w:w="182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line="300" w:lineRule="auto"/>
              <w:ind w:left="0" w:right="0" w:firstLine="0"/>
              <w:jc w:val="left"/>
              <w:rPr>
                <w:kern w:val="28"/>
                <w:sz w:val="16"/>
                <w:szCs w:val="16"/>
                <w:u w:color="000000"/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Tijd besteden aan actualiseren.</w:t>
            </w:r>
          </w:p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spacing w:before="0" w:line="300" w:lineRule="auto"/>
              <w:jc w:val="left"/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Aanschaffen actuele versie VGM Checklijst Aannemerij</w:t>
            </w:r>
          </w:p>
        </w:tc>
        <w:tc>
          <w:tcPr>
            <w:tcW w:type="dxa" w:w="2930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line="300" w:lineRule="auto"/>
              <w:ind w:left="0" w:right="0" w:firstLine="0"/>
              <w:jc w:val="left"/>
              <w:rPr>
                <w:kern w:val="28"/>
                <w:sz w:val="16"/>
                <w:szCs w:val="16"/>
                <w:u w:color="000000"/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Vaardigheid om relevante VGM-gerelateerde aspecten op een adequate wijze op te pakken en toe te voegen in het VCA-handboek.</w:t>
            </w:r>
          </w:p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300" w:lineRule="auto"/>
              <w:jc w:val="left"/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Geldt eveneens voor het voldoen aan relevante wet- en regelgeving.</w:t>
            </w:r>
          </w:p>
        </w:tc>
      </w:tr>
      <w:tr>
        <w:tblPrEx>
          <w:shd w:val="clear" w:color="auto" w:fill="ced7e7"/>
        </w:tblPrEx>
        <w:trPr>
          <w:trHeight w:val="957" w:hRule="atLeast"/>
        </w:trPr>
        <w:tc>
          <w:tcPr>
            <w:tcW w:type="dxa" w:w="176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Introduceren van nieuwe of tijdelijke medewerkers op het gebied van VGM.</w:t>
            </w:r>
          </w:p>
        </w:tc>
        <w:tc>
          <w:tcPr>
            <w:tcW w:type="dxa" w:w="2535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</w:tabs>
              <w:bidi w:val="0"/>
              <w:spacing w:before="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Zorgdragen dat medewerkers ge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ï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nformeerd worden over VGM-zaken</w:t>
            </w:r>
          </w:p>
        </w:tc>
        <w:tc>
          <w:tcPr>
            <w:tcW w:type="dxa" w:w="182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(Laten) u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 xml:space="preserve">itvoeren van de onboarding van medewerkers. </w:t>
            </w:r>
          </w:p>
        </w:tc>
        <w:tc>
          <w:tcPr>
            <w:tcW w:type="dxa" w:w="2930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Beschikken over de juiste skills om VGM-gerelateerde aspecten over te brengen aan nieuwe/tijdelijke medewerkers.</w:t>
            </w:r>
          </w:p>
        </w:tc>
      </w:tr>
      <w:tr>
        <w:tblPrEx>
          <w:shd w:val="clear" w:color="auto" w:fill="ced7e7"/>
        </w:tblPrEx>
        <w:trPr>
          <w:trHeight w:val="708" w:hRule="atLeast"/>
        </w:trPr>
        <w:tc>
          <w:tcPr>
            <w:tcW w:type="dxa" w:w="176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(Laten) o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pstellen van VGM-projectplannen of TRA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’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s</w:t>
            </w:r>
          </w:p>
        </w:tc>
        <w:tc>
          <w:tcPr>
            <w:tcW w:type="dxa" w:w="2535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VGM-projectplan/TRA dient afgestemd te zijn op de specifieke project-risico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’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s</w:t>
            </w:r>
          </w:p>
        </w:tc>
        <w:tc>
          <w:tcPr>
            <w:tcW w:type="dxa" w:w="182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Inventarisatie risico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’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s in overleg met betrokkenen</w:t>
            </w:r>
          </w:p>
        </w:tc>
        <w:tc>
          <w:tcPr>
            <w:tcW w:type="dxa" w:w="2930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Voldoende kennis en inzicht voor het opstellen van een VGM-projectplan en/of TRA.</w:t>
            </w:r>
          </w:p>
        </w:tc>
      </w:tr>
      <w:tr>
        <w:tblPrEx>
          <w:shd w:val="clear" w:color="auto" w:fill="ced7e7"/>
        </w:tblPrEx>
        <w:trPr>
          <w:trHeight w:val="708" w:hRule="atLeast"/>
        </w:trPr>
        <w:tc>
          <w:tcPr>
            <w:tcW w:type="dxa" w:w="176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Co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ö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rdinatie VGM-opleidingen</w:t>
            </w:r>
          </w:p>
        </w:tc>
        <w:tc>
          <w:tcPr>
            <w:tcW w:type="dxa" w:w="2535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Opleidingsplan moet aansluiten op specifieke bedrijfsrisico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’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s</w:t>
            </w:r>
          </w:p>
        </w:tc>
        <w:tc>
          <w:tcPr>
            <w:tcW w:type="dxa" w:w="182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Afspraken maken met            opleidingsinstanties</w:t>
            </w:r>
          </w:p>
        </w:tc>
        <w:tc>
          <w:tcPr>
            <w:tcW w:type="dxa" w:w="2930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Op de hoogte zijn (en blijven) van de stand van zaken rondom trainingen en cursussen op het gebied van VGM.</w:t>
            </w:r>
          </w:p>
        </w:tc>
      </w:tr>
      <w:tr>
        <w:tblPrEx>
          <w:shd w:val="clear" w:color="auto" w:fill="ced7e7"/>
        </w:tblPrEx>
        <w:trPr>
          <w:trHeight w:val="708" w:hRule="atLeast"/>
        </w:trPr>
        <w:tc>
          <w:tcPr>
            <w:tcW w:type="dxa" w:w="176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Interne audit</w:t>
            </w:r>
          </w:p>
        </w:tc>
        <w:tc>
          <w:tcPr>
            <w:tcW w:type="dxa" w:w="2535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Minimaal eenmaal per jaar een interne audit organiseren/uitvoeren</w:t>
            </w:r>
          </w:p>
        </w:tc>
        <w:tc>
          <w:tcPr>
            <w:tcW w:type="dxa" w:w="182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Plannen van de interne audit</w:t>
            </w:r>
          </w:p>
        </w:tc>
        <w:tc>
          <w:tcPr>
            <w:tcW w:type="dxa" w:w="2930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Inzicht in de auditmethodiek. Kennis van rapportage van de resultaten.</w:t>
            </w:r>
          </w:p>
        </w:tc>
      </w:tr>
      <w:tr>
        <w:tblPrEx>
          <w:shd w:val="clear" w:color="auto" w:fill="ced7e7"/>
        </w:tblPrEx>
        <w:trPr>
          <w:trHeight w:val="708" w:hRule="atLeast"/>
        </w:trPr>
        <w:tc>
          <w:tcPr>
            <w:tcW w:type="dxa" w:w="176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Co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ö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rdinatie VGM-verbeteracties</w:t>
            </w:r>
          </w:p>
        </w:tc>
        <w:tc>
          <w:tcPr>
            <w:tcW w:type="dxa" w:w="2535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Verbeteringen dienen risico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’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s te reduceren</w:t>
            </w:r>
          </w:p>
        </w:tc>
        <w:tc>
          <w:tcPr>
            <w:tcW w:type="dxa" w:w="182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Samenstellen van                   VGM-verbeteringen</w:t>
            </w:r>
          </w:p>
        </w:tc>
        <w:tc>
          <w:tcPr>
            <w:tcW w:type="dxa" w:w="2930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Continue alertheid om het VCA-systeem op basis van de PDCA-cirkel te verbeteren.</w:t>
            </w:r>
          </w:p>
        </w:tc>
      </w:tr>
      <w:tr>
        <w:tblPrEx>
          <w:shd w:val="clear" w:color="auto" w:fill="ced7e7"/>
        </w:tblPrEx>
        <w:trPr>
          <w:trHeight w:val="1455" w:hRule="atLeast"/>
        </w:trPr>
        <w:tc>
          <w:tcPr>
            <w:tcW w:type="dxa" w:w="176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Co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ö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rdinatie VGM-werkplekinspecties</w:t>
            </w:r>
          </w:p>
        </w:tc>
        <w:tc>
          <w:tcPr>
            <w:tcW w:type="dxa" w:w="2535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 xml:space="preserve">Werkplekinspecties dienen bij te dragen 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aan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 xml:space="preserve"> een hogere veiligheid op de locaties</w:t>
            </w:r>
          </w:p>
        </w:tc>
        <w:tc>
          <w:tcPr>
            <w:tcW w:type="dxa" w:w="182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Inzetten van Leidinggevenden naar eigen inzicht</w:t>
            </w:r>
          </w:p>
        </w:tc>
        <w:tc>
          <w:tcPr>
            <w:tcW w:type="dxa" w:w="2930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 xml:space="preserve">Overzicht te houden dat de vereiste werkplekinspecties worden uitgevoerd. Naast de kwantitatieve eisen, geldt ook dat de kwaliteit en inhoud toevoegen aan het veiligheidsniveau. </w:t>
            </w:r>
          </w:p>
        </w:tc>
      </w:tr>
      <w:tr>
        <w:tblPrEx>
          <w:shd w:val="clear" w:color="auto" w:fill="ced7e7"/>
        </w:tblPrEx>
        <w:trPr>
          <w:trHeight w:val="1206" w:hRule="atLeast"/>
        </w:trPr>
        <w:tc>
          <w:tcPr>
            <w:tcW w:type="dxa" w:w="176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Co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ö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rdineren VGM-toolboxmeeting</w:t>
            </w:r>
          </w:p>
        </w:tc>
        <w:tc>
          <w:tcPr>
            <w:tcW w:type="dxa" w:w="2535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 xml:space="preserve">Inhoud 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t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oolboxmeeting dient een bijdrage te leveren aan het veilig werken</w:t>
            </w:r>
          </w:p>
        </w:tc>
        <w:tc>
          <w:tcPr>
            <w:tcW w:type="dxa" w:w="182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line="300" w:lineRule="auto"/>
              <w:ind w:left="0" w:right="0" w:firstLine="0"/>
              <w:jc w:val="left"/>
              <w:rPr>
                <w:kern w:val="28"/>
                <w:sz w:val="16"/>
                <w:szCs w:val="16"/>
                <w:u w:color="000000"/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Vaststellen data.</w:t>
            </w:r>
          </w:p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spacing w:before="0" w:line="300" w:lineRule="auto"/>
              <w:jc w:val="left"/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Inschakelen van externe         deskundigen (indien noodzakelijk)</w:t>
            </w:r>
          </w:p>
        </w:tc>
        <w:tc>
          <w:tcPr>
            <w:tcW w:type="dxa" w:w="2930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 xml:space="preserve">Beschikken over communicatieve vaardigheden om een boeiende presentatie te organiseren en uit te voeren. </w:t>
            </w:r>
          </w:p>
        </w:tc>
      </w:tr>
      <w:tr>
        <w:tblPrEx>
          <w:shd w:val="clear" w:color="auto" w:fill="ced7e7"/>
        </w:tblPrEx>
        <w:trPr>
          <w:trHeight w:val="957" w:hRule="atLeast"/>
        </w:trPr>
        <w:tc>
          <w:tcPr>
            <w:tcW w:type="dxa" w:w="176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Informeren belanghebbenden   inzake ongevallen en incidenten</w:t>
            </w:r>
          </w:p>
        </w:tc>
        <w:tc>
          <w:tcPr>
            <w:tcW w:type="dxa" w:w="2535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Informatie conform de eisen van de actuele A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rbo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wet</w:t>
            </w:r>
          </w:p>
        </w:tc>
        <w:tc>
          <w:tcPr>
            <w:tcW w:type="dxa" w:w="182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line="300" w:lineRule="auto"/>
              <w:ind w:left="0" w:right="0" w:firstLine="0"/>
              <w:jc w:val="left"/>
              <w:rPr>
                <w:kern w:val="28"/>
                <w:sz w:val="16"/>
                <w:szCs w:val="16"/>
                <w:u w:color="000000"/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Interviewen van betrokkenen.</w:t>
            </w:r>
          </w:p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spacing w:before="0" w:line="300" w:lineRule="auto"/>
              <w:jc w:val="left"/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Raadplegen (externe)              Veiligheidskundige.</w:t>
            </w:r>
          </w:p>
        </w:tc>
        <w:tc>
          <w:tcPr>
            <w:tcW w:type="dxa" w:w="2930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 xml:space="preserve"> Vaardigheid om daadkrachtig op te treden bij ongevallen en VGM-incidenten. Betreft onder meer het uitvoeren van ongevalsonderzoeken.</w:t>
            </w:r>
          </w:p>
        </w:tc>
      </w:tr>
      <w:tr>
        <w:tblPrEx>
          <w:shd w:val="clear" w:color="auto" w:fill="ced7e7"/>
        </w:tblPrEx>
        <w:trPr>
          <w:trHeight w:val="1312" w:hRule="atLeast"/>
        </w:trPr>
        <w:tc>
          <w:tcPr>
            <w:tcW w:type="dxa" w:w="176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line="300" w:lineRule="auto"/>
              <w:ind w:left="0" w:right="0" w:firstLine="0"/>
              <w:jc w:val="left"/>
              <w:rPr>
                <w:kern w:val="28"/>
                <w:sz w:val="16"/>
                <w:szCs w:val="16"/>
                <w:u w:color="000000"/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Beheer van PBM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’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s</w:t>
            </w:r>
          </w:p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spacing w:before="0" w:line="300" w:lineRule="auto"/>
              <w:jc w:val="left"/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Keuren</w:t>
            </w:r>
          </w:p>
        </w:tc>
        <w:tc>
          <w:tcPr>
            <w:tcW w:type="dxa" w:w="2535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Uitvoerenden en tijdelijke medewerkers moeten kunnen beschikken over passende PBM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’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s die gratis ter beschikking gesteld worden</w:t>
            </w:r>
          </w:p>
        </w:tc>
        <w:tc>
          <w:tcPr>
            <w:tcW w:type="dxa" w:w="182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line="300" w:lineRule="auto"/>
              <w:ind w:left="0" w:right="0" w:firstLine="0"/>
              <w:jc w:val="left"/>
              <w:rPr>
                <w:kern w:val="28"/>
                <w:sz w:val="16"/>
                <w:szCs w:val="16"/>
                <w:u w:color="000000"/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Aanschaffen PBM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’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s</w:t>
            </w:r>
          </w:p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spacing w:before="0" w:line="300" w:lineRule="auto"/>
              <w:jc w:val="left"/>
              <w:rPr>
                <w:kern w:val="28"/>
                <w:sz w:val="16"/>
                <w:szCs w:val="16"/>
                <w:u w:color="00000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Uitreiken PBM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’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s</w:t>
            </w:r>
          </w:p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spacing w:before="0" w:line="300" w:lineRule="auto"/>
              <w:jc w:val="left"/>
              <w:rPr>
                <w:kern w:val="28"/>
                <w:sz w:val="16"/>
                <w:szCs w:val="16"/>
                <w:u w:color="00000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Instructie geven</w:t>
            </w:r>
          </w:p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spacing w:before="0" w:line="300" w:lineRule="auto"/>
              <w:jc w:val="left"/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Toezicht gebruik</w:t>
            </w:r>
          </w:p>
        </w:tc>
        <w:tc>
          <w:tcPr>
            <w:tcW w:type="dxa" w:w="2930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 xml:space="preserve"> Vaardigheid om te handelen conform de stand van de wetenschap.</w:t>
            </w:r>
          </w:p>
        </w:tc>
      </w:tr>
      <w:tr>
        <w:tblPrEx>
          <w:shd w:val="clear" w:color="auto" w:fill="ced7e7"/>
        </w:tblPrEx>
        <w:trPr>
          <w:trHeight w:val="1049" w:hRule="atLeast"/>
        </w:trPr>
        <w:tc>
          <w:tcPr>
            <w:tcW w:type="dxa" w:w="176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Verzorgen van planning onderhoud en keuring arbeidsmiddelen</w:t>
            </w:r>
          </w:p>
        </w:tc>
        <w:tc>
          <w:tcPr>
            <w:tcW w:type="dxa" w:w="2535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Het tijdig laten keuren en onderhouden van arbeidsmiddelen</w:t>
            </w:r>
          </w:p>
        </w:tc>
        <w:tc>
          <w:tcPr>
            <w:tcW w:type="dxa" w:w="182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line="300" w:lineRule="auto"/>
              <w:ind w:left="0" w:right="0" w:firstLine="0"/>
              <w:jc w:val="left"/>
              <w:rPr>
                <w:kern w:val="28"/>
                <w:sz w:val="16"/>
                <w:szCs w:val="16"/>
                <w:u w:color="000000"/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Maken van afspraken met  instanties</w:t>
            </w:r>
          </w:p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spacing w:before="0" w:line="300" w:lineRule="auto"/>
              <w:jc w:val="left"/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Blokkeren gebruik onveilige middelen</w:t>
            </w:r>
          </w:p>
        </w:tc>
        <w:tc>
          <w:tcPr>
            <w:tcW w:type="dxa" w:w="2930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 xml:space="preserve">Vaardigheid om te borgen dat de medewerkers te allen tijde met gekeurde en gekalibreerde arbeidsmiddelen kunnen werken.  </w:t>
            </w:r>
          </w:p>
        </w:tc>
      </w:tr>
      <w:tr>
        <w:tblPrEx>
          <w:shd w:val="clear" w:color="auto" w:fill="ced7e7"/>
        </w:tblPrEx>
        <w:trPr>
          <w:trHeight w:val="708" w:hRule="atLeast"/>
        </w:trPr>
        <w:tc>
          <w:tcPr>
            <w:tcW w:type="dxa" w:w="176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kern w:val="28"/>
                <w:sz w:val="16"/>
                <w:szCs w:val="16"/>
                <w:u w:color="000000"/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LMRA</w:t>
            </w:r>
          </w:p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spacing w:before="0" w:after="120" w:line="300" w:lineRule="auto"/>
              <w:jc w:val="left"/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 </w:t>
            </w:r>
          </w:p>
        </w:tc>
        <w:tc>
          <w:tcPr>
            <w:tcW w:type="dxa" w:w="2535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 xml:space="preserve">Het nut en de noodzaak van de LMRA blijvend promoten </w:t>
            </w:r>
          </w:p>
        </w:tc>
        <w:tc>
          <w:tcPr>
            <w:tcW w:type="dxa" w:w="182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Tijdens werkplekinspecties verifi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ë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ren.</w:t>
            </w:r>
          </w:p>
        </w:tc>
        <w:tc>
          <w:tcPr>
            <w:tcW w:type="dxa" w:w="2930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Vaardigheid om continu het nut en noodzaak van het toepassen van de LMRA te promoten.</w:t>
            </w:r>
          </w:p>
        </w:tc>
      </w:tr>
      <w:tr>
        <w:tblPrEx>
          <w:shd w:val="clear" w:color="auto" w:fill="ced7e7"/>
        </w:tblPrEx>
        <w:trPr>
          <w:trHeight w:val="957" w:hRule="atLeast"/>
        </w:trPr>
        <w:tc>
          <w:tcPr>
            <w:tcW w:type="dxa" w:w="176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Actief meewerken aan het uitvoeren van de RI&amp;E</w:t>
            </w:r>
          </w:p>
        </w:tc>
        <w:tc>
          <w:tcPr>
            <w:tcW w:type="dxa" w:w="2535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</w:tabs>
              <w:bidi w:val="0"/>
              <w:spacing w:before="0" w:after="12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Zorgdragen dat de RI&amp;E alle risico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’</w:t>
            </w: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s die de activiteiten van de organisatie met zich meebrengt dekt.</w:t>
            </w:r>
          </w:p>
        </w:tc>
        <w:tc>
          <w:tcPr>
            <w:tcW w:type="dxa" w:w="1822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</w:tabs>
              <w:bidi w:val="0"/>
              <w:spacing w:before="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Gevraagd en ongevraagd (laten) actualiseren van de RI&amp;E.</w:t>
            </w:r>
          </w:p>
        </w:tc>
        <w:tc>
          <w:tcPr>
            <w:tcW w:type="dxa" w:w="2930"/>
            <w:tcBorders>
              <w:top w:val="single" w:color="000066" w:sz="6" w:space="0" w:shadow="0" w:frame="0"/>
              <w:left w:val="single" w:color="000066" w:sz="6" w:space="0" w:shadow="0" w:frame="0"/>
              <w:bottom w:val="single" w:color="000066" w:sz="6" w:space="0" w:shadow="0" w:frame="0"/>
              <w:right w:val="single" w:color="000066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0" w:line="30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kern w:val="28"/>
                <w:sz w:val="16"/>
                <w:szCs w:val="16"/>
                <w:u w:color="000000"/>
                <w:rtl w:val="0"/>
                <w:lang w:val="nl-NL"/>
              </w:rPr>
              <w:t>De activiteiten die de organisatie uitvoert kunnen vertalen in de RIE</w:t>
            </w:r>
          </w:p>
        </w:tc>
      </w:tr>
    </w:tbl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0" w:after="120" w:line="285" w:lineRule="auto"/>
        <w:ind w:left="0" w:right="0" w:firstLine="0"/>
        <w:jc w:val="left"/>
        <w:rPr>
          <w:rtl w:val="0"/>
        </w:rPr>
      </w:pPr>
      <w:bookmarkStart w:name="_headingh.gjdgxs" w:id="0"/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oofdtekst"/>
      <w:tabs>
        <w:tab w:val="center" w:pos="4536"/>
        <w:tab w:val="right" w:pos="9046"/>
      </w:tabs>
      <w:spacing w:after="0" w:line="240" w:lineRule="auto"/>
    </w:pP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:lang w:val="nl-NL"/>
        <w14:textFill>
          <w14:solidFill>
            <w14:srgbClr w14:val="000000"/>
          </w14:solidFill>
        </w14:textFill>
      </w:rPr>
      <w:t>www.vcanieuws.nl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oofdtekst"/>
      <w:tabs>
        <w:tab w:val="center" w:pos="4536"/>
        <w:tab w:val="right" w:pos="9046"/>
      </w:tabs>
      <w:spacing w:after="0" w:line="240" w:lineRule="auto"/>
    </w:pP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drawing xmlns:a="http://schemas.openxmlformats.org/drawingml/2006/main">
        <wp:inline distT="0" distB="0" distL="0" distR="0">
          <wp:extent cx="859790" cy="445135"/>
          <wp:effectExtent l="0" t="0" r="0" b="0"/>
          <wp:docPr id="1073741825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790" cy="44513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oofdtekst">
    <w:name w:val="Hoofdtekst"/>
    <w:next w:val="Hoof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ard">
    <w:name w:val="Standaard"/>
    <w:next w:val="Standa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nl-NL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Kantoor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